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bookmarkStart w:id="0" w:name="_Toc193024528"/>
      <w:r>
        <w:rPr>
          <w:rFonts w:ascii="Arial" w:hAnsi="Arial" w:cs="Arial"/>
          <w:b/>
          <w:sz w:val="24"/>
          <w:szCs w:val="24"/>
          <w:highlight w:val="none"/>
        </w:rPr>
        <w:t>3GPP TSG-RAN WG4 Meeting # 9</w:t>
      </w:r>
      <w:r>
        <w:rPr>
          <w:rFonts w:hint="eastAsia" w:eastAsia="宋体" w:cs="Arial"/>
          <w:b/>
          <w:sz w:val="24"/>
          <w:szCs w:val="24"/>
          <w:highlight w:val="none"/>
          <w:lang w:val="en-US" w:eastAsia="zh-CN"/>
        </w:rPr>
        <w:t>7</w:t>
      </w:r>
      <w:r>
        <w:rPr>
          <w:rFonts w:ascii="Arial" w:hAnsi="Arial" w:cs="Arial"/>
          <w:b/>
          <w:sz w:val="24"/>
          <w:szCs w:val="24"/>
          <w:highlight w:val="none"/>
        </w:rPr>
        <w:t xml:space="preserve">-e </w:t>
      </w:r>
      <w:r>
        <w:rPr>
          <w:rFonts w:hint="eastAsia" w:ascii="Arial" w:hAnsi="Arial" w:eastAsia="宋体" w:cs="Arial"/>
          <w:b/>
          <w:sz w:val="24"/>
          <w:szCs w:val="24"/>
          <w:highlight w:val="none"/>
          <w:lang w:val="en-US" w:eastAsia="zh-CN"/>
        </w:rPr>
        <w:t xml:space="preserve">                                                            </w:t>
      </w:r>
      <w:r>
        <w:rPr>
          <w:rFonts w:ascii="Arial" w:hAnsi="Arial" w:cs="Arial"/>
          <w:b/>
          <w:sz w:val="24"/>
          <w:szCs w:val="24"/>
          <w:highlight w:val="none"/>
        </w:rPr>
        <w:t>R4-20</w:t>
      </w:r>
      <w:r>
        <w:rPr>
          <w:rFonts w:hint="eastAsia" w:eastAsia="宋体" w:cs="Arial"/>
          <w:b/>
          <w:sz w:val="24"/>
          <w:szCs w:val="24"/>
          <w:highlight w:val="none"/>
          <w:lang w:val="en-US" w:eastAsia="zh-CN"/>
        </w:rPr>
        <w:t>15042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highlight w:val="none"/>
          <w:lang w:val="en-US" w:eastAsia="zh-CN"/>
        </w:rPr>
      </w:pPr>
      <w:r>
        <w:rPr>
          <w:rFonts w:ascii="Arial" w:hAnsi="Arial" w:cs="Arial"/>
          <w:b/>
          <w:sz w:val="24"/>
          <w:szCs w:val="24"/>
          <w:highlight w:val="none"/>
          <w:lang w:eastAsia="zh-CN"/>
        </w:rPr>
        <w:t xml:space="preserve">Electronic Meeting, </w:t>
      </w:r>
      <w:r>
        <w:rPr>
          <w:rFonts w:hint="eastAsia" w:cs="Arial"/>
          <w:b/>
          <w:sz w:val="24"/>
          <w:szCs w:val="24"/>
          <w:highlight w:val="none"/>
          <w:lang w:val="en-US" w:eastAsia="zh-CN"/>
        </w:rPr>
        <w:t>2</w:t>
      </w:r>
      <w:r>
        <w:rPr>
          <w:rFonts w:ascii="Arial" w:hAnsi="Arial" w:cs="Arial"/>
          <w:b/>
          <w:sz w:val="24"/>
          <w:szCs w:val="24"/>
          <w:highlight w:val="none"/>
          <w:lang w:eastAsia="zh-CN"/>
        </w:rPr>
        <w:t>-</w:t>
      </w:r>
      <w:r>
        <w:rPr>
          <w:rFonts w:hint="eastAsia" w:cs="Arial"/>
          <w:b/>
          <w:sz w:val="24"/>
          <w:szCs w:val="24"/>
          <w:highlight w:val="none"/>
          <w:lang w:val="en-US" w:eastAsia="zh-CN"/>
        </w:rPr>
        <w:t>13</w:t>
      </w:r>
      <w:r>
        <w:rPr>
          <w:rFonts w:ascii="Arial" w:hAnsi="Arial" w:cs="Arial"/>
          <w:b/>
          <w:sz w:val="24"/>
          <w:szCs w:val="24"/>
          <w:highlight w:val="none"/>
          <w:lang w:eastAsia="zh-CN"/>
        </w:rPr>
        <w:t xml:space="preserve"> </w:t>
      </w:r>
      <w:r>
        <w:rPr>
          <w:rFonts w:hint="eastAsia" w:cs="Arial"/>
          <w:b/>
          <w:sz w:val="24"/>
          <w:szCs w:val="24"/>
          <w:highlight w:val="none"/>
          <w:lang w:val="en-US" w:eastAsia="zh-CN"/>
        </w:rPr>
        <w:t>Nov</w:t>
      </w:r>
      <w:r>
        <w:rPr>
          <w:rFonts w:ascii="Arial" w:hAnsi="Arial" w:cs="Arial"/>
          <w:b/>
          <w:sz w:val="24"/>
          <w:szCs w:val="24"/>
          <w:highlight w:val="none"/>
          <w:lang w:eastAsia="zh-CN"/>
        </w:rPr>
        <w:t>., 2020</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2"/>
          <w:szCs w:val="22"/>
          <w:highlight w:val="none"/>
          <w:lang w:eastAsia="zh-CN"/>
        </w:rPr>
        <w:t>ZTE</w:t>
      </w:r>
      <w:r>
        <w:rPr>
          <w:rFonts w:hint="default" w:ascii="Arial" w:hAnsi="Arial" w:eastAsia="宋体" w:cs="Arial"/>
          <w:b w:val="0"/>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cs="Arial"/>
          <w:b w:val="0"/>
          <w:bCs/>
          <w:sz w:val="22"/>
          <w:szCs w:val="22"/>
          <w:highlight w:val="none"/>
          <w:lang w:val="en-US" w:eastAsia="zh-CN"/>
        </w:rPr>
        <w:t>Discussion on the MSD of the new channel BW for EN-DC and NR CA band combinations</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2"/>
          <w:szCs w:val="22"/>
          <w:highlight w:val="none"/>
          <w:lang w:val="en-US" w:eastAsia="zh-CN"/>
        </w:rPr>
        <w:t>7.19.3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2"/>
          <w:szCs w:val="22"/>
          <w:highlight w:val="none"/>
          <w:lang w:val="en-US" w:eastAsia="zh-CN"/>
        </w:rPr>
        <w:t>Approval</w:t>
      </w:r>
      <w:r>
        <w:rPr>
          <w:rFonts w:hint="default" w:ascii="Arial" w:hAnsi="Arial" w:eastAsia="宋体" w:cs="Arial"/>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In last RAN4 #96e meeting, a WF is agreed that how to </w:t>
      </w:r>
      <w:r>
        <w:rPr>
          <w:rFonts w:hint="default" w:eastAsia="宋体" w:cs="Times New Roman"/>
          <w:i w:val="0"/>
          <w:iCs w:val="0"/>
          <w:sz w:val="20"/>
          <w:szCs w:val="22"/>
          <w:highlight w:val="none"/>
          <w:lang w:val="en-US" w:eastAsia="zh-CN"/>
        </w:rPr>
        <w:t>handl</w:t>
      </w:r>
      <w:r>
        <w:rPr>
          <w:rFonts w:hint="eastAsia" w:eastAsia="宋体" w:cs="Times New Roman"/>
          <w:i w:val="0"/>
          <w:iCs w:val="0"/>
          <w:sz w:val="20"/>
          <w:szCs w:val="22"/>
          <w:highlight w:val="none"/>
          <w:lang w:val="en-US" w:eastAsia="zh-CN"/>
        </w:rPr>
        <w:t xml:space="preserve">e </w:t>
      </w:r>
      <w:r>
        <w:rPr>
          <w:rFonts w:hint="default" w:eastAsia="宋体" w:cs="Times New Roman"/>
          <w:i w:val="0"/>
          <w:iCs w:val="0"/>
          <w:sz w:val="20"/>
          <w:szCs w:val="22"/>
          <w:highlight w:val="none"/>
          <w:lang w:val="en-US" w:eastAsia="zh-CN"/>
        </w:rPr>
        <w:t>new channel BW’s for EN-DC and NR CA band combinations with MSD</w:t>
      </w:r>
      <w:r>
        <w:rPr>
          <w:rFonts w:hint="eastAsia" w:eastAsia="宋体" w:cs="Times New Roman"/>
          <w:i w:val="0"/>
          <w:iCs w:val="0"/>
          <w:sz w:val="20"/>
          <w:szCs w:val="22"/>
          <w:highlight w:val="none"/>
          <w:lang w:val="en-US" w:eastAsia="zh-CN"/>
        </w:rPr>
        <w:t xml:space="preserve"> due to the new channel bandwidths are introduced for NR bands, where some options were included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drawing>
          <wp:inline distT="0" distB="0" distL="114300" distR="114300">
            <wp:extent cx="6121400" cy="28333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21400" cy="283337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In this contribution, we 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w:t>
      </w:r>
      <w:r>
        <w:rPr>
          <w:rFonts w:hint="eastAsia" w:eastAsia="宋体" w:cs="Times New Roman"/>
          <w:i w:val="0"/>
          <w:iCs w:val="0"/>
          <w:sz w:val="20"/>
          <w:szCs w:val="22"/>
          <w:highlight w:val="none"/>
          <w:lang w:val="en-US" w:eastAsia="zh-CN"/>
        </w:rPr>
        <w:t>is issue</w:t>
      </w:r>
      <w:r>
        <w:rPr>
          <w:rFonts w:hint="eastAsia" w:ascii="Times New Roman" w:hAnsi="Times New Roman"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In general, the MSD values caused by cross band isolation for the specific band combination are defined based on the aggressor band UL RB allocation. However, at the beginning of NR, the supported channel bandwidths for some LTE refarming bands are the same with LTE band, meanwhile the ENDC or NR CA combinations are requested and completed. When the new channel bandwidths are added, for ENDC combination, due to no bandwidth information attached when the combinations are requested, proponents usually update the MSD values by scaling with channel bandwidth via CR contributions without analysis. It is the similar story for NR CA where new BCS is introduced to capture the new added channel bandwidth and also update the corresponding MSD value.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Different with LTE, large channel bandwidths are supported in NR. As stated in the WF, CIM3, CIM5 and Image become a factor for large BWs since the separation between the UL allocation and TXLO increases. It can be foreseen that the MSD values for large channel bandwidth will be larger than the values of the small channel bandwidths since more noises need to consider for larger channel bandwidth, this is verified in [2] and [3] for DC_1_n40 and DC_3_n1, respectively., where about 13~14 dB MSD increased for larger channel bandwidth comparing with small channel bandwidth.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For DC_1_n40, the MSD = 21.5dB for band 1 when the band n40 UL BW = 80MHz, comparing with 8.3dB in the case of band n40 UL BW = 20MHz, the MSD values increase ~13dB. Frankly speaking, 21.5dB MSD is large and it will severely impact the band 1 Rx performance. Therefore, looking for some methods to avoid such big MSD values is more meaningful than the values themselves. Similar situations have been existed during RAN4 discussion, which are single UL allowed for some difficult ENDC combination. From this aspect, both option 1 and option 2 are seems fine.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For option 1, it is easy and less work need to be done since introduce some words to clarify it seems enough. However, the potential risk is if operators have the demand to deploy the large channel bandwidth and also UE needs to support such large channel bandwidths, then it may not easy to say UE should not be forced to meet the ENDC/NRCA REFSENS requirement. But if there are no such demands, </w:t>
      </w:r>
      <w:bookmarkStart w:id="1" w:name="_GoBack"/>
      <w:bookmarkEnd w:id="1"/>
      <w:r>
        <w:rPr>
          <w:rFonts w:hint="eastAsia" w:eastAsia="宋体" w:cs="Times New Roman"/>
          <w:b w:val="0"/>
          <w:bCs w:val="0"/>
          <w:sz w:val="20"/>
          <w:szCs w:val="20"/>
          <w:highlight w:val="none"/>
          <w:lang w:val="en-US" w:eastAsia="zh-CN"/>
        </w:rPr>
        <w:t>option 1 is a good way to go.</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For option 2, it considers to adjust the UL RB allocation and location for the larger UL channel BW of the aggressor band to avoid TX image, CIM3 and CIM5 to keep MSD no larger than the existing MSD for the smaller channel BWs. Usually, the requirements are defined in the worse case which is the UL allocation shall be located as close as possible to the downlink operating band but confined within the transmission bandwidth configuration for the channel bandwidth. However, by using such principle will cause severe MSD issue. It makes sense to restrict the the allocation for the UL channel bandwidth and the RB allocation since we can know the conditions to avoid the severe MSD issue and also it can resolve the potential risk of option 1, however many works are foreseen since it may need to verify the combinations case by case to pick out the combinations with severe cross band MSD issue. From specification aspect, option 2 is reasonable.</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the MSD of the new channel BW for EN-DC and NR CA band combinations</w:t>
      </w:r>
      <w:r>
        <w:rPr>
          <w:rFonts w:hint="eastAsia" w:eastAsia="宋体" w:cs="Times New Roman"/>
          <w:i w:val="0"/>
          <w:iCs w:val="0"/>
          <w:sz w:val="20"/>
          <w:szCs w:val="22"/>
          <w:highlight w:val="none"/>
          <w:lang w:val="en-US" w:eastAsia="zh-CN"/>
        </w:rPr>
        <w:t xml:space="preserve">. Comparing with the currently three options included in the WF, </w:t>
      </w:r>
      <w:r>
        <w:rPr>
          <w:rFonts w:hint="eastAsia" w:eastAsia="宋体" w:cs="Times New Roman"/>
          <w:b w:val="0"/>
          <w:bCs w:val="0"/>
          <w:sz w:val="20"/>
          <w:szCs w:val="20"/>
          <w:highlight w:val="none"/>
          <w:lang w:val="en-US" w:eastAsia="zh-CN"/>
        </w:rPr>
        <w:t>option 2 is reasonable from specification aspect</w:t>
      </w:r>
      <w:r>
        <w:rPr>
          <w:rFonts w:hint="eastAsia"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[1] </w:t>
      </w:r>
      <w:r>
        <w:rPr>
          <w:rFonts w:hint="eastAsia" w:ascii="Times New Roman" w:hAnsi="Times New Roman" w:eastAsia="宋体" w:cs="Times New Roman"/>
          <w:b w:val="0"/>
          <w:bCs w:val="0"/>
          <w:sz w:val="20"/>
          <w:szCs w:val="20"/>
          <w:highlight w:val="none"/>
          <w:vertAlign w:val="baseline"/>
          <w:lang w:val="en-US" w:eastAsia="zh-CN"/>
        </w:rPr>
        <w:t>R4-20</w:t>
      </w:r>
      <w:r>
        <w:rPr>
          <w:rFonts w:hint="eastAsia" w:eastAsia="宋体" w:cs="Times New Roman"/>
          <w:b w:val="0"/>
          <w:bCs w:val="0"/>
          <w:sz w:val="20"/>
          <w:szCs w:val="20"/>
          <w:highlight w:val="none"/>
          <w:vertAlign w:val="baseline"/>
          <w:lang w:val="en-US" w:eastAsia="zh-CN"/>
        </w:rPr>
        <w:t>11777</w:t>
      </w:r>
      <w:r>
        <w:rPr>
          <w:rFonts w:hint="eastAsia" w:ascii="Times New Roman" w:hAnsi="Times New Roman" w:eastAsia="宋体" w:cs="Times New Roman"/>
          <w:b w:val="0"/>
          <w:bCs w:val="0"/>
          <w:sz w:val="20"/>
          <w:szCs w:val="20"/>
          <w:highlight w:val="none"/>
          <w:vertAlign w:val="baseline"/>
          <w:lang w:val="en-US" w:eastAsia="zh-CN"/>
        </w:rPr>
        <w:t xml:space="preserve"> WF on handling new channel BW</w:t>
      </w:r>
      <w:r>
        <w:rPr>
          <w:rFonts w:hint="default" w:eastAsia="宋体" w:cs="Times New Roman"/>
          <w:b w:val="0"/>
          <w:bCs w:val="0"/>
          <w:sz w:val="20"/>
          <w:szCs w:val="20"/>
          <w:highlight w:val="none"/>
          <w:vertAlign w:val="baseline"/>
          <w:lang w:val="en-US" w:eastAsia="zh-CN"/>
        </w:rPr>
        <w:t>’</w:t>
      </w:r>
      <w:r>
        <w:rPr>
          <w:rFonts w:hint="eastAsia" w:ascii="Times New Roman" w:hAnsi="Times New Roman" w:eastAsia="宋体" w:cs="Times New Roman"/>
          <w:b w:val="0"/>
          <w:bCs w:val="0"/>
          <w:sz w:val="20"/>
          <w:szCs w:val="20"/>
          <w:highlight w:val="none"/>
          <w:vertAlign w:val="baseline"/>
          <w:lang w:val="en-US" w:eastAsia="zh-CN"/>
        </w:rPr>
        <w:t>s for EN-DC and NR CA band combinations with MSD</w:t>
      </w:r>
      <w:r>
        <w:rPr>
          <w:rFonts w:hint="eastAsia" w:eastAsia="宋体" w:cs="Times New Roman"/>
          <w:b w:val="0"/>
          <w:bCs w:val="0"/>
          <w:sz w:val="20"/>
          <w:szCs w:val="20"/>
          <w:highlight w:val="none"/>
          <w:vertAlign w:val="baseline"/>
          <w:lang w:val="en-US" w:eastAsia="zh-CN"/>
        </w:rPr>
        <w:t>Qualcomm, MediaTek, CHTTL, [ZTE]</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[2] R4-2009623, “CR for missing DC_1A_n40A Cross Band Noise MSD for large NR UL BW in 38.101-3”, RAN4#96-e, Qualcomm, August 2020.</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[3] R4-2009620, “CR for missing DC_3A_n1A Cross Band Noise MSD for large NR UL BW in 38.101-3”, RAN4#96-e, Qualcomm, August 2020.</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C24F6"/>
    <w:rsid w:val="028575FB"/>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9E20A2"/>
    <w:rsid w:val="05A61B3E"/>
    <w:rsid w:val="05A77370"/>
    <w:rsid w:val="05CE76FB"/>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86CAE"/>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F01BDC"/>
    <w:rsid w:val="09F04614"/>
    <w:rsid w:val="09F05FD9"/>
    <w:rsid w:val="09F5481F"/>
    <w:rsid w:val="09F66132"/>
    <w:rsid w:val="09FA4305"/>
    <w:rsid w:val="09FC5A06"/>
    <w:rsid w:val="09FD7AC1"/>
    <w:rsid w:val="0A087C59"/>
    <w:rsid w:val="0A0A4421"/>
    <w:rsid w:val="0A0C5AD4"/>
    <w:rsid w:val="0A0D3E6C"/>
    <w:rsid w:val="0A0D5D35"/>
    <w:rsid w:val="0A0F1328"/>
    <w:rsid w:val="0A137D08"/>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F2B47"/>
    <w:rsid w:val="119F77C4"/>
    <w:rsid w:val="11A67383"/>
    <w:rsid w:val="11B05A60"/>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63A63"/>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F9591A"/>
    <w:rsid w:val="130B1D8A"/>
    <w:rsid w:val="131358FB"/>
    <w:rsid w:val="13173505"/>
    <w:rsid w:val="131F3AD2"/>
    <w:rsid w:val="13293EE0"/>
    <w:rsid w:val="133025EA"/>
    <w:rsid w:val="13304676"/>
    <w:rsid w:val="13326762"/>
    <w:rsid w:val="1336157D"/>
    <w:rsid w:val="133657BA"/>
    <w:rsid w:val="133E3DD1"/>
    <w:rsid w:val="13403B2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C42409"/>
    <w:rsid w:val="14C510C3"/>
    <w:rsid w:val="14CC3E85"/>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AA3264"/>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C19F1"/>
    <w:rsid w:val="186E121C"/>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64FA0"/>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23CBD"/>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E6BF5"/>
    <w:rsid w:val="2AEF1DBC"/>
    <w:rsid w:val="2AF940AB"/>
    <w:rsid w:val="2AFF2EB0"/>
    <w:rsid w:val="2AFF6246"/>
    <w:rsid w:val="2B061E16"/>
    <w:rsid w:val="2B0651DB"/>
    <w:rsid w:val="2B081CE2"/>
    <w:rsid w:val="2B0B7DF6"/>
    <w:rsid w:val="2B0E24FA"/>
    <w:rsid w:val="2B122123"/>
    <w:rsid w:val="2B130886"/>
    <w:rsid w:val="2B1E649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1432A9"/>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D6DEA"/>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35E19"/>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7144A"/>
    <w:rsid w:val="40A27041"/>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A7AEA"/>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0E850A8"/>
    <w:rsid w:val="50EE1F92"/>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37051"/>
    <w:rsid w:val="51B44B36"/>
    <w:rsid w:val="51B51E93"/>
    <w:rsid w:val="51BC7B58"/>
    <w:rsid w:val="51C10EBB"/>
    <w:rsid w:val="51C436C9"/>
    <w:rsid w:val="51C9446F"/>
    <w:rsid w:val="51DA4E91"/>
    <w:rsid w:val="51DF24D3"/>
    <w:rsid w:val="51E96BB5"/>
    <w:rsid w:val="51EF47CF"/>
    <w:rsid w:val="51FF7286"/>
    <w:rsid w:val="5207265A"/>
    <w:rsid w:val="521153DD"/>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13E99"/>
    <w:rsid w:val="5C45707D"/>
    <w:rsid w:val="5C471B1A"/>
    <w:rsid w:val="5C4E5CA1"/>
    <w:rsid w:val="5C52761C"/>
    <w:rsid w:val="5C5603E6"/>
    <w:rsid w:val="5C5773AF"/>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25F5B"/>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BA4EC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13EEA"/>
    <w:rsid w:val="74886C9D"/>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2020-10-23T09:52:50Z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